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066" w:rsidRDefault="00141066" w:rsidP="00141066">
      <w:pPr>
        <w:spacing w:line="700" w:lineRule="exact"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/>
          <w:sz w:val="44"/>
          <w:szCs w:val="44"/>
        </w:rPr>
        <w:t>成都</w:t>
      </w:r>
      <w:r>
        <w:rPr>
          <w:rFonts w:ascii="Times New Roman" w:eastAsia="方正小标宋简体" w:hAnsi="Times New Roman" w:cs="Times New Roman"/>
          <w:b/>
          <w:sz w:val="44"/>
          <w:szCs w:val="44"/>
        </w:rPr>
        <w:t>兴城集团及</w:t>
      </w:r>
      <w:r>
        <w:rPr>
          <w:rFonts w:ascii="Times New Roman" w:eastAsia="方正小标宋简体" w:hAnsi="Times New Roman" w:cs="Times New Roman" w:hint="eastAsia"/>
          <w:b/>
          <w:sz w:val="44"/>
          <w:szCs w:val="44"/>
        </w:rPr>
        <w:t>集团</w:t>
      </w:r>
      <w:r>
        <w:rPr>
          <w:rFonts w:ascii="Times New Roman" w:eastAsia="方正小标宋简体" w:hAnsi="Times New Roman" w:cs="Times New Roman"/>
          <w:b/>
          <w:sz w:val="44"/>
          <w:szCs w:val="44"/>
        </w:rPr>
        <w:t>文旅板块简介</w:t>
      </w:r>
    </w:p>
    <w:p w:rsidR="00141066" w:rsidRDefault="00141066" w:rsidP="00141066">
      <w:pPr>
        <w:spacing w:line="560" w:lineRule="exact"/>
        <w:rPr>
          <w:rFonts w:ascii="Times New Roman" w:eastAsia="方正仿宋" w:hAnsi="Times New Roman" w:cs="Times New Roman"/>
          <w:sz w:val="32"/>
          <w:szCs w:val="32"/>
        </w:rPr>
      </w:pPr>
    </w:p>
    <w:p w:rsidR="00141066" w:rsidRDefault="00141066" w:rsidP="00141066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一、</w:t>
      </w:r>
      <w:r>
        <w:rPr>
          <w:rFonts w:ascii="黑体" w:eastAsia="黑体" w:hAnsi="黑体" w:cs="Times New Roman" w:hint="eastAsia"/>
          <w:sz w:val="32"/>
          <w:szCs w:val="32"/>
        </w:rPr>
        <w:t>成都</w:t>
      </w:r>
      <w:r>
        <w:rPr>
          <w:rFonts w:ascii="黑体" w:eastAsia="黑体" w:hAnsi="黑体" w:cs="Times New Roman"/>
          <w:sz w:val="32"/>
          <w:szCs w:val="32"/>
        </w:rPr>
        <w:t>兴城集团简介</w:t>
      </w:r>
    </w:p>
    <w:p w:rsidR="00141066" w:rsidRDefault="00141066" w:rsidP="00141066">
      <w:pPr>
        <w:spacing w:line="560" w:lineRule="exact"/>
        <w:ind w:firstLineChars="200" w:firstLine="640"/>
        <w:rPr>
          <w:rFonts w:ascii="Times New Roman" w:eastAsia="方正仿宋" w:hAnsi="Times New Roman" w:cs="Times New Roman"/>
          <w:sz w:val="32"/>
          <w:szCs w:val="32"/>
        </w:rPr>
      </w:pPr>
      <w:r>
        <w:rPr>
          <w:rFonts w:ascii="Times New Roman" w:eastAsia="方正仿宋" w:hAnsi="Times New Roman" w:cs="Times New Roman"/>
          <w:sz w:val="32"/>
          <w:szCs w:val="32"/>
        </w:rPr>
        <w:t>成都兴城投资集团有限公司</w:t>
      </w:r>
      <w:r>
        <w:rPr>
          <w:rFonts w:ascii="Times New Roman" w:eastAsia="方正仿宋" w:hAnsi="Times New Roman" w:cs="Times New Roman" w:hint="eastAsia"/>
          <w:sz w:val="32"/>
          <w:szCs w:val="32"/>
        </w:rPr>
        <w:t>是成都市国有资本投资运营公司，于</w:t>
      </w:r>
      <w:r>
        <w:rPr>
          <w:rFonts w:ascii="Times New Roman" w:eastAsia="方正仿宋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" w:hAnsi="Times New Roman" w:cs="Times New Roman"/>
          <w:sz w:val="32"/>
          <w:szCs w:val="32"/>
        </w:rPr>
        <w:t>018</w:t>
      </w:r>
      <w:r>
        <w:rPr>
          <w:rFonts w:ascii="Times New Roman" w:eastAsia="方正仿宋" w:hAnsi="Times New Roman" w:cs="Times New Roman" w:hint="eastAsia"/>
          <w:sz w:val="32"/>
          <w:szCs w:val="32"/>
        </w:rPr>
        <w:t>年迈入中国企业</w:t>
      </w:r>
      <w:r>
        <w:rPr>
          <w:rFonts w:ascii="Times New Roman" w:eastAsia="方正仿宋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" w:hAnsi="Times New Roman" w:cs="Times New Roman"/>
          <w:sz w:val="32"/>
          <w:szCs w:val="32"/>
        </w:rPr>
        <w:t>00</w:t>
      </w:r>
      <w:r>
        <w:rPr>
          <w:rFonts w:ascii="Times New Roman" w:eastAsia="方正仿宋" w:hAnsi="Times New Roman" w:cs="Times New Roman" w:hint="eastAsia"/>
          <w:sz w:val="32"/>
          <w:szCs w:val="32"/>
        </w:rPr>
        <w:t>强和中国服务业</w:t>
      </w:r>
      <w:r>
        <w:rPr>
          <w:rFonts w:ascii="Times New Roman" w:eastAsia="方正仿宋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" w:hAnsi="Times New Roman" w:cs="Times New Roman"/>
          <w:sz w:val="32"/>
          <w:szCs w:val="32"/>
        </w:rPr>
        <w:t>00</w:t>
      </w:r>
      <w:r>
        <w:rPr>
          <w:rFonts w:ascii="Times New Roman" w:eastAsia="方正仿宋" w:hAnsi="Times New Roman" w:cs="Times New Roman" w:hint="eastAsia"/>
          <w:sz w:val="32"/>
          <w:szCs w:val="32"/>
        </w:rPr>
        <w:t>强，主营建筑施工、地产开发、医疗健康、文化旅游、资本运营与资产管理五大产业，设二级</w:t>
      </w:r>
      <w:r>
        <w:rPr>
          <w:rFonts w:ascii="Times New Roman" w:eastAsia="方正仿宋" w:hAnsi="Times New Roman" w:cs="Times New Roman"/>
          <w:sz w:val="32"/>
          <w:szCs w:val="32"/>
        </w:rPr>
        <w:t>全资</w:t>
      </w:r>
      <w:r>
        <w:rPr>
          <w:rFonts w:ascii="Times New Roman" w:eastAsia="方正仿宋" w:hAnsi="Times New Roman" w:cs="Times New Roman" w:hint="eastAsia"/>
          <w:sz w:val="32"/>
          <w:szCs w:val="32"/>
        </w:rPr>
        <w:t>及控股子</w:t>
      </w:r>
      <w:r>
        <w:rPr>
          <w:rFonts w:ascii="Times New Roman" w:eastAsia="方正仿宋" w:hAnsi="Times New Roman" w:cs="Times New Roman"/>
          <w:sz w:val="32"/>
          <w:szCs w:val="32"/>
        </w:rPr>
        <w:t>公司</w:t>
      </w:r>
      <w:r>
        <w:rPr>
          <w:rFonts w:ascii="Times New Roman" w:eastAsia="方正仿宋" w:hAnsi="Times New Roman" w:cs="Times New Roman"/>
          <w:sz w:val="32"/>
          <w:szCs w:val="32"/>
        </w:rPr>
        <w:t>20</w:t>
      </w:r>
      <w:r>
        <w:rPr>
          <w:rFonts w:ascii="Times New Roman" w:eastAsia="方正仿宋" w:hAnsi="Times New Roman" w:cs="Times New Roman"/>
          <w:sz w:val="32"/>
          <w:szCs w:val="32"/>
        </w:rPr>
        <w:t>家，</w:t>
      </w:r>
      <w:r>
        <w:rPr>
          <w:rFonts w:ascii="Times New Roman" w:eastAsia="方正仿宋" w:hAnsi="Times New Roman" w:cs="Times New Roman" w:hint="eastAsia"/>
          <w:sz w:val="32"/>
          <w:szCs w:val="32"/>
        </w:rPr>
        <w:t>三级子公司及参股公司</w:t>
      </w:r>
      <w:r>
        <w:rPr>
          <w:rFonts w:ascii="Times New Roman" w:eastAsia="方正仿宋" w:hAnsi="Times New Roman" w:cs="Times New Roman"/>
          <w:sz w:val="32"/>
          <w:szCs w:val="32"/>
        </w:rPr>
        <w:t>57</w:t>
      </w:r>
      <w:r>
        <w:rPr>
          <w:rFonts w:ascii="Times New Roman" w:eastAsia="方正仿宋" w:hAnsi="Times New Roman" w:cs="Times New Roman" w:hint="eastAsia"/>
          <w:sz w:val="32"/>
          <w:szCs w:val="32"/>
        </w:rPr>
        <w:t>家。</w:t>
      </w:r>
      <w:r>
        <w:rPr>
          <w:rFonts w:ascii="Times New Roman" w:eastAsia="方正仿宋" w:hAnsi="Times New Roman" w:cs="Times New Roman"/>
          <w:sz w:val="32"/>
          <w:szCs w:val="32"/>
        </w:rPr>
        <w:t>截至</w:t>
      </w:r>
      <w:r>
        <w:rPr>
          <w:rFonts w:ascii="Times New Roman" w:eastAsia="方正仿宋" w:hAnsi="Times New Roman" w:cs="Times New Roman"/>
          <w:sz w:val="32"/>
          <w:szCs w:val="32"/>
        </w:rPr>
        <w:t>2018</w:t>
      </w:r>
      <w:r>
        <w:rPr>
          <w:rFonts w:ascii="Times New Roman" w:eastAsia="方正仿宋" w:hAnsi="Times New Roman" w:cs="Times New Roman"/>
          <w:sz w:val="32"/>
          <w:szCs w:val="32"/>
        </w:rPr>
        <w:t>年</w:t>
      </w:r>
      <w:r>
        <w:rPr>
          <w:rFonts w:ascii="Times New Roman" w:eastAsia="方正仿宋" w:hAnsi="Times New Roman" w:cs="Times New Roman"/>
          <w:sz w:val="32"/>
          <w:szCs w:val="32"/>
        </w:rPr>
        <w:t>6</w:t>
      </w:r>
      <w:r>
        <w:rPr>
          <w:rFonts w:ascii="Times New Roman" w:eastAsia="方正仿宋" w:hAnsi="Times New Roman" w:cs="Times New Roman"/>
          <w:sz w:val="32"/>
          <w:szCs w:val="32"/>
        </w:rPr>
        <w:t>月底，集团资产总额</w:t>
      </w:r>
      <w:r>
        <w:rPr>
          <w:rFonts w:ascii="Times New Roman" w:eastAsia="方正仿宋" w:hAnsi="Times New Roman" w:cs="Times New Roman"/>
          <w:sz w:val="32"/>
          <w:szCs w:val="32"/>
        </w:rPr>
        <w:t>1378</w:t>
      </w:r>
      <w:r>
        <w:rPr>
          <w:rFonts w:ascii="Times New Roman" w:eastAsia="方正仿宋" w:hAnsi="Times New Roman" w:cs="Times New Roman"/>
          <w:sz w:val="32"/>
          <w:szCs w:val="32"/>
        </w:rPr>
        <w:t>亿元，净资产</w:t>
      </w:r>
      <w:r>
        <w:rPr>
          <w:rFonts w:ascii="Times New Roman" w:eastAsia="方正仿宋" w:hAnsi="Times New Roman" w:cs="Times New Roman"/>
          <w:sz w:val="32"/>
          <w:szCs w:val="32"/>
        </w:rPr>
        <w:t>405</w:t>
      </w:r>
      <w:r>
        <w:rPr>
          <w:rFonts w:ascii="Times New Roman" w:eastAsia="方正仿宋" w:hAnsi="Times New Roman" w:cs="Times New Roman"/>
          <w:sz w:val="32"/>
          <w:szCs w:val="32"/>
        </w:rPr>
        <w:t>亿元，具备</w:t>
      </w:r>
      <w:r>
        <w:rPr>
          <w:rFonts w:ascii="Times New Roman" w:eastAsia="方正仿宋" w:hAnsi="Times New Roman" w:cs="Times New Roman" w:hint="eastAsia"/>
          <w:sz w:val="32"/>
          <w:szCs w:val="32"/>
        </w:rPr>
        <w:t>雄厚的开发实力、丰富的建设经验和强劲的</w:t>
      </w:r>
      <w:r>
        <w:rPr>
          <w:rFonts w:ascii="Times New Roman" w:eastAsia="方正仿宋" w:hAnsi="Times New Roman" w:cs="Times New Roman"/>
          <w:sz w:val="32"/>
          <w:szCs w:val="32"/>
        </w:rPr>
        <w:t>投融资能力。</w:t>
      </w:r>
    </w:p>
    <w:p w:rsidR="00141066" w:rsidRDefault="00141066" w:rsidP="00141066">
      <w:pPr>
        <w:spacing w:line="560" w:lineRule="exact"/>
        <w:ind w:firstLineChars="200" w:firstLine="640"/>
        <w:rPr>
          <w:rFonts w:ascii="Times New Roman" w:eastAsia="方正仿宋" w:hAnsi="Times New Roman" w:cs="Times New Roman"/>
          <w:sz w:val="32"/>
          <w:szCs w:val="32"/>
        </w:rPr>
      </w:pPr>
      <w:r>
        <w:rPr>
          <w:rFonts w:ascii="Times New Roman" w:eastAsia="方正仿宋" w:hAnsi="Times New Roman" w:cs="Times New Roman"/>
          <w:sz w:val="32"/>
          <w:szCs w:val="32"/>
        </w:rPr>
        <w:t>近年来，</w:t>
      </w:r>
      <w:bookmarkStart w:id="0" w:name="OLE_LINK14"/>
      <w:bookmarkStart w:id="1" w:name="OLE_LINK15"/>
      <w:r>
        <w:rPr>
          <w:rFonts w:ascii="Times New Roman" w:eastAsia="方正仿宋" w:hAnsi="Times New Roman" w:cs="Times New Roman" w:hint="eastAsia"/>
          <w:sz w:val="32"/>
          <w:szCs w:val="32"/>
        </w:rPr>
        <w:t>成都</w:t>
      </w:r>
      <w:r>
        <w:rPr>
          <w:rFonts w:ascii="Times New Roman" w:eastAsia="方正仿宋" w:hAnsi="Times New Roman" w:cs="Times New Roman"/>
          <w:sz w:val="32"/>
          <w:szCs w:val="32"/>
        </w:rPr>
        <w:t>兴城集团</w:t>
      </w:r>
      <w:r>
        <w:rPr>
          <w:rFonts w:ascii="Times New Roman" w:eastAsia="方正仿宋" w:hAnsi="Times New Roman" w:cs="Times New Roman" w:hint="eastAsia"/>
          <w:sz w:val="32"/>
          <w:szCs w:val="32"/>
        </w:rPr>
        <w:t>始终坚持开放发展理念，踊跃投身城市项目建设，打造了成都市东部、南部新区共计</w:t>
      </w:r>
      <w:r>
        <w:rPr>
          <w:rFonts w:ascii="Times New Roman" w:eastAsia="方正仿宋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" w:hAnsi="Times New Roman" w:cs="Times New Roman"/>
          <w:sz w:val="32"/>
          <w:szCs w:val="32"/>
        </w:rPr>
        <w:t>6</w:t>
      </w:r>
      <w:r>
        <w:rPr>
          <w:rFonts w:ascii="Times New Roman" w:eastAsia="方正仿宋" w:hAnsi="Times New Roman" w:cs="Times New Roman" w:hint="eastAsia"/>
          <w:sz w:val="32"/>
          <w:szCs w:val="32"/>
        </w:rPr>
        <w:t>平方公里两个城市副中心及成都规划馆、成都档案馆等一批城市地标，开发了</w:t>
      </w:r>
      <w:r>
        <w:rPr>
          <w:rFonts w:ascii="Times New Roman" w:eastAsia="方正仿宋" w:hAnsi="Times New Roman" w:cs="Times New Roman" w:hint="eastAsia"/>
          <w:sz w:val="32"/>
          <w:szCs w:val="32"/>
        </w:rPr>
        <w:t>6</w:t>
      </w:r>
      <w:r>
        <w:rPr>
          <w:rFonts w:ascii="Times New Roman" w:eastAsia="方正仿宋" w:hAnsi="Times New Roman" w:cs="Times New Roman"/>
          <w:sz w:val="32"/>
          <w:szCs w:val="32"/>
        </w:rPr>
        <w:t>00</w:t>
      </w:r>
      <w:r>
        <w:rPr>
          <w:rFonts w:ascii="Times New Roman" w:eastAsia="方正仿宋" w:hAnsi="Times New Roman" w:cs="Times New Roman" w:hint="eastAsia"/>
          <w:sz w:val="32"/>
          <w:szCs w:val="32"/>
        </w:rPr>
        <w:t>万平方米高品质地产项目，正全力建设天府绿道、天府锦城等城市名片；积极开辟国际业务版图，在香港设立全资境外平台公司，开拓美国、俄罗斯、澳大利亚等海外市场业务，承建了尼泊尔、安哥拉、加蓬等国的工程项目；通过多元化、全球化产业布局，放大了国有资本集成效应，发挥了国企引领示范辐射作用。</w:t>
      </w:r>
      <w:bookmarkEnd w:id="0"/>
      <w:bookmarkEnd w:id="1"/>
    </w:p>
    <w:p w:rsidR="00141066" w:rsidRDefault="00141066" w:rsidP="00141066">
      <w:pPr>
        <w:spacing w:line="560" w:lineRule="exact"/>
        <w:ind w:firstLineChars="200" w:firstLine="640"/>
        <w:rPr>
          <w:rFonts w:ascii="Times New Roman" w:eastAsia="方正仿宋" w:hAnsi="Times New Roman" w:cs="Times New Roman"/>
          <w:sz w:val="32"/>
          <w:szCs w:val="32"/>
        </w:rPr>
      </w:pPr>
      <w:r>
        <w:rPr>
          <w:rFonts w:ascii="Times New Roman" w:eastAsia="方正仿宋" w:hAnsi="Times New Roman" w:cs="Times New Roman" w:hint="eastAsia"/>
          <w:sz w:val="32"/>
          <w:szCs w:val="32"/>
        </w:rPr>
        <w:t>未来，成都兴城集团将打造国际化城市综合开发运营商，力争</w:t>
      </w:r>
      <w:r>
        <w:rPr>
          <w:rFonts w:ascii="Times New Roman" w:eastAsia="方正仿宋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" w:hAnsi="Times New Roman" w:cs="Times New Roman"/>
          <w:sz w:val="32"/>
          <w:szCs w:val="32"/>
        </w:rPr>
        <w:t>022</w:t>
      </w:r>
      <w:r>
        <w:rPr>
          <w:rFonts w:ascii="Times New Roman" w:eastAsia="方正仿宋" w:hAnsi="Times New Roman" w:cs="Times New Roman" w:hint="eastAsia"/>
          <w:sz w:val="32"/>
          <w:szCs w:val="32"/>
        </w:rPr>
        <w:t>年进入世界</w:t>
      </w:r>
      <w:r>
        <w:rPr>
          <w:rFonts w:ascii="Times New Roman" w:eastAsia="方正仿宋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" w:hAnsi="Times New Roman" w:cs="Times New Roman"/>
          <w:sz w:val="32"/>
          <w:szCs w:val="32"/>
        </w:rPr>
        <w:t>00</w:t>
      </w:r>
      <w:r>
        <w:rPr>
          <w:rFonts w:ascii="Times New Roman" w:eastAsia="方正仿宋" w:hAnsi="Times New Roman" w:cs="Times New Roman" w:hint="eastAsia"/>
          <w:sz w:val="32"/>
          <w:szCs w:val="32"/>
        </w:rPr>
        <w:t>强企业。</w:t>
      </w:r>
    </w:p>
    <w:p w:rsidR="00141066" w:rsidRDefault="00141066" w:rsidP="00141066">
      <w:pPr>
        <w:spacing w:line="560" w:lineRule="exact"/>
        <w:ind w:firstLineChars="200" w:firstLine="640"/>
        <w:rPr>
          <w:rFonts w:ascii="Times New Roman" w:eastAsia="方正仿宋" w:hAnsi="Times New Roman" w:cs="Times New Roman"/>
          <w:sz w:val="32"/>
          <w:szCs w:val="32"/>
        </w:rPr>
      </w:pPr>
    </w:p>
    <w:p w:rsidR="00141066" w:rsidRDefault="00141066" w:rsidP="00141066">
      <w:pPr>
        <w:spacing w:line="560" w:lineRule="exact"/>
        <w:ind w:firstLineChars="200" w:firstLine="640"/>
        <w:rPr>
          <w:rFonts w:ascii="方正黑体" w:eastAsia="方正黑体" w:hAnsi="Times New Roman" w:cs="Times New Roman"/>
          <w:sz w:val="32"/>
          <w:szCs w:val="32"/>
        </w:rPr>
      </w:pPr>
      <w:r>
        <w:rPr>
          <w:rFonts w:ascii="方正黑体" w:eastAsia="方正黑体" w:hAnsi="Times New Roman" w:cs="Times New Roman" w:hint="eastAsia"/>
          <w:sz w:val="32"/>
          <w:szCs w:val="32"/>
        </w:rPr>
        <w:t>二、成都兴城集团文旅板块简介</w:t>
      </w:r>
    </w:p>
    <w:p w:rsidR="00141066" w:rsidRDefault="00141066" w:rsidP="00141066">
      <w:pPr>
        <w:spacing w:line="560" w:lineRule="exact"/>
        <w:ind w:firstLineChars="200" w:firstLine="640"/>
        <w:rPr>
          <w:rFonts w:ascii="Times New Roman" w:eastAsia="方正仿宋" w:hAnsi="Times New Roman" w:cs="Times New Roman"/>
          <w:sz w:val="32"/>
          <w:szCs w:val="32"/>
        </w:rPr>
      </w:pPr>
      <w:r>
        <w:rPr>
          <w:rFonts w:ascii="Times New Roman" w:eastAsia="方正仿宋" w:hAnsi="Times New Roman" w:cs="Times New Roman"/>
          <w:sz w:val="32"/>
          <w:szCs w:val="32"/>
        </w:rPr>
        <w:t>文体旅游板块总体定位：未来五年，作为集团的新兴型</w:t>
      </w:r>
      <w:r>
        <w:rPr>
          <w:rFonts w:ascii="Times New Roman" w:eastAsia="方正仿宋" w:hAnsi="Times New Roman" w:cs="Times New Roman"/>
          <w:sz w:val="32"/>
          <w:szCs w:val="32"/>
        </w:rPr>
        <w:lastRenderedPageBreak/>
        <w:t>业务。短期内主要关注现有项目（政府委托的文化项目为主）的开发、落地，是集团业务多元化的主要抓手之一；中长期通过对既有和新增文化项目的市场化运作和文化品牌的打造，输出成为集团收入和利润的新增长引擎，助力整体业务规模提升。文体旅游板块未来在落实现有文化体育项目的同时，致力于成为成都市及四川省发掘文化元素，打造具有川蜀特色的兴城文化品牌并实现其商业价值。</w:t>
      </w:r>
    </w:p>
    <w:p w:rsidR="00141066" w:rsidRDefault="00141066" w:rsidP="00141066">
      <w:pPr>
        <w:spacing w:line="560" w:lineRule="exact"/>
        <w:ind w:firstLineChars="200" w:firstLine="640"/>
        <w:rPr>
          <w:rFonts w:ascii="Times New Roman" w:eastAsia="方正仿宋" w:hAnsi="Times New Roman" w:cs="Times New Roman"/>
          <w:sz w:val="32"/>
          <w:szCs w:val="32"/>
        </w:rPr>
      </w:pPr>
      <w:r>
        <w:rPr>
          <w:rFonts w:ascii="Times New Roman" w:eastAsia="方正仿宋" w:hAnsi="Times New Roman" w:cs="Times New Roman"/>
          <w:b/>
          <w:sz w:val="32"/>
          <w:szCs w:val="32"/>
        </w:rPr>
        <w:t>子业务板块发展定位：</w:t>
      </w:r>
      <w:r>
        <w:rPr>
          <w:rFonts w:ascii="Times New Roman" w:eastAsia="方正仿宋" w:hAnsi="Times New Roman" w:cs="Times New Roman"/>
          <w:sz w:val="32"/>
          <w:szCs w:val="32"/>
        </w:rPr>
        <w:t>文体旅游板块以落实现有文化体育项目为基础，着力打造文化产业运营和文化项目开发运作两个平台。</w:t>
      </w:r>
    </w:p>
    <w:p w:rsidR="00141066" w:rsidRDefault="00141066" w:rsidP="00141066">
      <w:pPr>
        <w:spacing w:line="560" w:lineRule="exact"/>
        <w:ind w:firstLineChars="200" w:firstLine="640"/>
        <w:rPr>
          <w:rFonts w:ascii="Times New Roman" w:eastAsia="方正仿宋" w:hAnsi="Times New Roman" w:cs="Times New Roman"/>
          <w:sz w:val="32"/>
          <w:szCs w:val="32"/>
        </w:rPr>
      </w:pPr>
      <w:r>
        <w:rPr>
          <w:rFonts w:ascii="Times New Roman" w:eastAsia="方正仿宋" w:hAnsi="Times New Roman" w:cs="Times New Roman"/>
          <w:sz w:val="32"/>
          <w:szCs w:val="32"/>
        </w:rPr>
        <w:t>——</w:t>
      </w:r>
      <w:r>
        <w:rPr>
          <w:rFonts w:ascii="Times New Roman" w:eastAsia="方正仿宋" w:hAnsi="Times New Roman" w:cs="Times New Roman"/>
          <w:sz w:val="32"/>
          <w:szCs w:val="32"/>
        </w:rPr>
        <w:t>文化产业运营：围绕文化创意元素的挖掘和打造，通过市场化的方式实现文化创意元素的商业价值，形成具有兴城特色的文化主品牌（兴城文化品牌），并通过兴城文化品牌管理下属文化子品牌（如天府绿道、三国蜀汉城、天府文化公园等）。</w:t>
      </w:r>
    </w:p>
    <w:p w:rsidR="00141066" w:rsidRDefault="00141066" w:rsidP="00141066">
      <w:pPr>
        <w:spacing w:line="560" w:lineRule="exact"/>
        <w:ind w:firstLineChars="200" w:firstLine="640"/>
        <w:rPr>
          <w:rFonts w:ascii="Times New Roman" w:eastAsia="方正仿宋" w:hAnsi="Times New Roman" w:cs="Times New Roman"/>
          <w:sz w:val="32"/>
          <w:szCs w:val="32"/>
        </w:rPr>
      </w:pPr>
      <w:r>
        <w:rPr>
          <w:rFonts w:ascii="Times New Roman" w:eastAsia="方正仿宋" w:hAnsi="Times New Roman" w:cs="Times New Roman"/>
          <w:sz w:val="32"/>
          <w:szCs w:val="32"/>
        </w:rPr>
        <w:t>——</w:t>
      </w:r>
      <w:r>
        <w:rPr>
          <w:rFonts w:ascii="Times New Roman" w:eastAsia="方正仿宋" w:hAnsi="Times New Roman" w:cs="Times New Roman"/>
          <w:sz w:val="32"/>
          <w:szCs w:val="32"/>
        </w:rPr>
        <w:t>文化项目开发运作：立足于现有三个文化项目，通过项目开发落地及长期运营实现收益。</w:t>
      </w:r>
    </w:p>
    <w:p w:rsidR="00141066" w:rsidRDefault="00141066" w:rsidP="00141066">
      <w:pPr>
        <w:spacing w:line="560" w:lineRule="exact"/>
        <w:ind w:firstLineChars="200" w:firstLine="640"/>
        <w:rPr>
          <w:rFonts w:ascii="Times New Roman" w:eastAsia="方正仿宋" w:hAnsi="Times New Roman" w:cs="Times New Roman"/>
          <w:b/>
          <w:sz w:val="32"/>
          <w:szCs w:val="32"/>
        </w:rPr>
      </w:pPr>
      <w:r>
        <w:rPr>
          <w:rFonts w:ascii="Times New Roman" w:eastAsia="方正仿宋" w:hAnsi="Times New Roman" w:cs="Times New Roman"/>
          <w:b/>
          <w:sz w:val="32"/>
          <w:szCs w:val="32"/>
        </w:rPr>
        <w:t>子业务板块发展战略：</w:t>
      </w:r>
    </w:p>
    <w:p w:rsidR="00141066" w:rsidRDefault="00141066" w:rsidP="00141066">
      <w:pPr>
        <w:spacing w:line="560" w:lineRule="exact"/>
        <w:ind w:firstLineChars="200" w:firstLine="640"/>
        <w:rPr>
          <w:rFonts w:ascii="Times New Roman" w:eastAsia="方正仿宋" w:hAnsi="Times New Roman" w:cs="Times New Roman"/>
          <w:sz w:val="32"/>
          <w:szCs w:val="32"/>
        </w:rPr>
      </w:pPr>
      <w:r>
        <w:rPr>
          <w:rFonts w:ascii="Times New Roman" w:eastAsia="方正仿宋" w:hAnsi="Times New Roman" w:cs="Times New Roman"/>
          <w:sz w:val="32"/>
          <w:szCs w:val="32"/>
        </w:rPr>
        <w:t>——</w:t>
      </w:r>
      <w:r>
        <w:rPr>
          <w:rFonts w:ascii="Times New Roman" w:eastAsia="方正仿宋" w:hAnsi="Times New Roman" w:cs="Times New Roman"/>
          <w:sz w:val="32"/>
          <w:szCs w:val="32"/>
        </w:rPr>
        <w:t>文化产业运营：以建立专业运营主题、深挖文化元素和开发文化产品为未来业务重点。近期，应将文化资源开发和内容产品创作相结合，探索商业模式；远期，以品牌价值的塑造和拓展为核心，实现稳定收入来源。</w:t>
      </w:r>
    </w:p>
    <w:p w:rsidR="00141066" w:rsidRDefault="00141066" w:rsidP="00141066">
      <w:pPr>
        <w:spacing w:line="560" w:lineRule="exact"/>
        <w:ind w:firstLineChars="200" w:firstLine="640"/>
        <w:rPr>
          <w:rFonts w:ascii="Times New Roman" w:eastAsia="方正仿宋" w:hAnsi="Times New Roman" w:cs="Times New Roman"/>
          <w:sz w:val="32"/>
          <w:szCs w:val="32"/>
        </w:rPr>
      </w:pPr>
      <w:r>
        <w:rPr>
          <w:rFonts w:ascii="Times New Roman" w:eastAsia="方正仿宋" w:hAnsi="Times New Roman" w:cs="Times New Roman"/>
          <w:sz w:val="32"/>
          <w:szCs w:val="32"/>
        </w:rPr>
        <w:t>——</w:t>
      </w:r>
      <w:r>
        <w:rPr>
          <w:rFonts w:ascii="Times New Roman" w:eastAsia="方正仿宋" w:hAnsi="Times New Roman" w:cs="Times New Roman"/>
          <w:sz w:val="32"/>
          <w:szCs w:val="32"/>
        </w:rPr>
        <w:t>文化项目开发运作：以设置合理的组织架构、选择合适的开发和运营模式、广泛联合外部资源加强核心能力为</w:t>
      </w:r>
      <w:r>
        <w:rPr>
          <w:rFonts w:ascii="Times New Roman" w:eastAsia="方正仿宋" w:hAnsi="Times New Roman" w:cs="Times New Roman"/>
          <w:sz w:val="32"/>
          <w:szCs w:val="32"/>
        </w:rPr>
        <w:lastRenderedPageBreak/>
        <w:t>未来业务重点。近期，尽快实现已有三个文化项目的开发和落地，并成功剥离运营业务成立专业的运营公司，进行商业模式的探索；远期，通过对集团文化项目进行专业化运营，形成有稳定收入来源的专业项目运营平台。</w:t>
      </w:r>
    </w:p>
    <w:p w:rsidR="00141066" w:rsidRDefault="00141066" w:rsidP="00141066">
      <w:pPr>
        <w:spacing w:line="560" w:lineRule="exact"/>
        <w:ind w:firstLineChars="200" w:firstLine="640"/>
        <w:rPr>
          <w:rFonts w:ascii="Times New Roman" w:eastAsia="方正仿宋" w:hAnsi="Times New Roman" w:cs="Times New Roman"/>
          <w:sz w:val="32"/>
          <w:szCs w:val="32"/>
        </w:rPr>
      </w:pPr>
    </w:p>
    <w:p w:rsidR="00141066" w:rsidRDefault="00141066" w:rsidP="00141066">
      <w:pPr>
        <w:spacing w:line="560" w:lineRule="exact"/>
        <w:ind w:right="1280"/>
        <w:rPr>
          <w:rFonts w:ascii="Times New Roman" w:eastAsia="方正仿宋" w:hAnsi="Times New Roman" w:cs="Times New Roman"/>
          <w:sz w:val="32"/>
          <w:szCs w:val="32"/>
        </w:rPr>
      </w:pPr>
    </w:p>
    <w:p w:rsidR="009656EF" w:rsidRPr="00141066" w:rsidRDefault="009656EF"/>
    <w:sectPr w:rsidR="009656EF" w:rsidRPr="00141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6EF" w:rsidRDefault="009656EF" w:rsidP="00141066">
      <w:r>
        <w:separator/>
      </w:r>
    </w:p>
  </w:endnote>
  <w:endnote w:type="continuationSeparator" w:id="1">
    <w:p w:rsidR="009656EF" w:rsidRDefault="009656EF" w:rsidP="001410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6EF" w:rsidRDefault="009656EF" w:rsidP="00141066">
      <w:r>
        <w:separator/>
      </w:r>
    </w:p>
  </w:footnote>
  <w:footnote w:type="continuationSeparator" w:id="1">
    <w:p w:rsidR="009656EF" w:rsidRDefault="009656EF" w:rsidP="001410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1066"/>
    <w:rsid w:val="00141066"/>
    <w:rsid w:val="00965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0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10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10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10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10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kf3</dc:creator>
  <cp:keywords/>
  <dc:description/>
  <cp:lastModifiedBy>kf3</cp:lastModifiedBy>
  <cp:revision>2</cp:revision>
  <dcterms:created xsi:type="dcterms:W3CDTF">2019-04-09T09:46:00Z</dcterms:created>
  <dcterms:modified xsi:type="dcterms:W3CDTF">2019-04-09T09:46:00Z</dcterms:modified>
</cp:coreProperties>
</file>